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项目名称：2022年外聘教师平安建设奖和综合目标考核奖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2022年外聘教师平安建设奖和综合目标考核奖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18.00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18.00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2022年外聘教师综合目标考核奖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发放外聘教师综合目标考核奖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综合考虑资金管理、产出、效果、满意度等各方面因素，通过数据采集及分析，最终评分结果：2022年外聘教师平安建设奖和综合目标考核奖绩效自评价结果为:总得分100分，属于"优"。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发放人数; 发放金额; 教师薪酬待遇; 教师满意度;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≤180000元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180000元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发放人数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=18人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18人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发放金额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及时足额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教师薪酬待遇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教师满意度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