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项目名称：2023年第一批教师素质提升经费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2023年教育局下属学校教师素质提升经费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18.47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18.47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18.47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18.47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完成教职工培训工作。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完成教职工培训工作。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综合考虑资金管理、产出、效果、满意度等各方面因素，通过数据采集及分析，最终评分结果：2023年第一批教师素质提升经费绩效自评价结果为:总得分100分，属于"优"。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培训人数; 培训合格率; 教师教学管理水平;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≤184650元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184650元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培训人数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≥100人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120人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培训合格率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教师教学管理水平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提高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